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AA6A9" w14:textId="074EC12A" w:rsidR="00D94977" w:rsidRPr="00176CF7" w:rsidRDefault="000C0C8A" w:rsidP="00176CF7">
      <w:pPr>
        <w:jc w:val="center"/>
        <w:rPr>
          <w:rFonts w:cstheme="minorHAnsi"/>
          <w:b/>
          <w:sz w:val="32"/>
          <w:szCs w:val="32"/>
        </w:rPr>
      </w:pPr>
      <w:r w:rsidRPr="006936E3">
        <w:rPr>
          <w:rFonts w:cstheme="minorHAnsi"/>
          <w:b/>
          <w:sz w:val="32"/>
          <w:szCs w:val="32"/>
        </w:rPr>
        <w:t>BOLETIN DE PRENSA</w:t>
      </w:r>
    </w:p>
    <w:p w14:paraId="1E830531" w14:textId="19B8007E" w:rsidR="00C81DDD" w:rsidRPr="006936E3" w:rsidRDefault="00700B5D" w:rsidP="006936E3">
      <w:pPr>
        <w:spacing w:line="240" w:lineRule="auto"/>
        <w:jc w:val="right"/>
        <w:rPr>
          <w:rFonts w:cstheme="minorHAnsi"/>
          <w:sz w:val="20"/>
          <w:szCs w:val="20"/>
        </w:rPr>
      </w:pPr>
      <w:r w:rsidRPr="006936E3">
        <w:rPr>
          <w:rFonts w:cstheme="minorHAnsi"/>
          <w:sz w:val="20"/>
          <w:szCs w:val="20"/>
        </w:rPr>
        <w:t xml:space="preserve">Ciudad de México, a </w:t>
      </w:r>
      <w:r w:rsidR="00093F9D">
        <w:rPr>
          <w:rFonts w:cstheme="minorHAnsi"/>
          <w:sz w:val="20"/>
          <w:szCs w:val="20"/>
        </w:rPr>
        <w:t>2</w:t>
      </w:r>
      <w:r w:rsidR="00280376">
        <w:rPr>
          <w:rFonts w:cstheme="minorHAnsi"/>
          <w:sz w:val="20"/>
          <w:szCs w:val="20"/>
        </w:rPr>
        <w:t>2</w:t>
      </w:r>
      <w:r w:rsidR="004E2098">
        <w:rPr>
          <w:rFonts w:cstheme="minorHAnsi"/>
          <w:sz w:val="20"/>
          <w:szCs w:val="20"/>
        </w:rPr>
        <w:t xml:space="preserve"> de </w:t>
      </w:r>
      <w:r w:rsidR="00907DB9">
        <w:rPr>
          <w:rFonts w:cstheme="minorHAnsi"/>
          <w:sz w:val="20"/>
          <w:szCs w:val="20"/>
        </w:rPr>
        <w:t>abril</w:t>
      </w:r>
      <w:r w:rsidR="00065256" w:rsidRPr="006936E3">
        <w:rPr>
          <w:rFonts w:cstheme="minorHAnsi"/>
          <w:sz w:val="20"/>
          <w:szCs w:val="20"/>
        </w:rPr>
        <w:t xml:space="preserve"> de 2022</w:t>
      </w:r>
    </w:p>
    <w:p w14:paraId="236AF5FB" w14:textId="7DF9B147" w:rsidR="00065256" w:rsidRDefault="00065256" w:rsidP="006936E3">
      <w:pPr>
        <w:spacing w:line="240" w:lineRule="auto"/>
        <w:jc w:val="right"/>
        <w:rPr>
          <w:rFonts w:cstheme="minorHAnsi"/>
          <w:sz w:val="20"/>
          <w:szCs w:val="20"/>
        </w:rPr>
      </w:pPr>
      <w:r w:rsidRPr="006936E3">
        <w:rPr>
          <w:rFonts w:cstheme="minorHAnsi"/>
          <w:sz w:val="20"/>
          <w:szCs w:val="20"/>
        </w:rPr>
        <w:t>No.</w:t>
      </w:r>
      <w:r w:rsidR="002946AD">
        <w:rPr>
          <w:rFonts w:cstheme="minorHAnsi"/>
          <w:sz w:val="20"/>
          <w:szCs w:val="20"/>
        </w:rPr>
        <w:t xml:space="preserve"> </w:t>
      </w:r>
      <w:r w:rsidR="00280376">
        <w:rPr>
          <w:rFonts w:cstheme="minorHAnsi"/>
          <w:sz w:val="20"/>
          <w:szCs w:val="20"/>
        </w:rPr>
        <w:t xml:space="preserve">40 </w:t>
      </w:r>
    </w:p>
    <w:p w14:paraId="172F254F" w14:textId="06B6F483" w:rsidR="00326F3D" w:rsidRPr="00176CF7" w:rsidRDefault="00280376" w:rsidP="00280376">
      <w:pPr>
        <w:jc w:val="both"/>
        <w:rPr>
          <w:b/>
          <w:sz w:val="28"/>
          <w:szCs w:val="28"/>
        </w:rPr>
      </w:pPr>
      <w:r w:rsidRPr="00176CF7">
        <w:rPr>
          <w:b/>
          <w:sz w:val="28"/>
          <w:szCs w:val="28"/>
        </w:rPr>
        <w:t>Entrega Senador Álvarez Icaza Medalla y Reconocimiento a Personal Médico</w:t>
      </w:r>
      <w:r w:rsidR="00326F3D">
        <w:rPr>
          <w:b/>
          <w:sz w:val="28"/>
          <w:szCs w:val="28"/>
        </w:rPr>
        <w:t xml:space="preserve"> y Administrativo</w:t>
      </w:r>
      <w:r w:rsidRPr="00176CF7">
        <w:rPr>
          <w:b/>
          <w:sz w:val="28"/>
          <w:szCs w:val="28"/>
        </w:rPr>
        <w:t xml:space="preserve"> de Hospitales Públicos de la C</w:t>
      </w:r>
      <w:r w:rsidR="00326F3D">
        <w:rPr>
          <w:b/>
          <w:sz w:val="28"/>
          <w:szCs w:val="28"/>
        </w:rPr>
        <w:t>iudad de México.</w:t>
      </w:r>
      <w:bookmarkStart w:id="0" w:name="_GoBack"/>
      <w:bookmarkEnd w:id="0"/>
    </w:p>
    <w:p w14:paraId="3BD7E38D" w14:textId="77777777" w:rsidR="00280376" w:rsidRDefault="00280376" w:rsidP="00280376">
      <w:pPr>
        <w:pStyle w:val="Prrafodelista"/>
        <w:numPr>
          <w:ilvl w:val="0"/>
          <w:numId w:val="8"/>
        </w:numPr>
        <w:jc w:val="both"/>
      </w:pPr>
      <w:r>
        <w:t>Un pequeño gran reconocimiento a la importancia de tu trabajo que no solo fue una obligación, sino de convicción para atender a la gente durante la pandemia por Covid19.</w:t>
      </w:r>
    </w:p>
    <w:p w14:paraId="6441719C" w14:textId="77777777" w:rsidR="00280376" w:rsidRDefault="00280376" w:rsidP="00280376">
      <w:pPr>
        <w:pStyle w:val="Prrafodelista"/>
        <w:numPr>
          <w:ilvl w:val="0"/>
          <w:numId w:val="8"/>
        </w:numPr>
        <w:jc w:val="both"/>
      </w:pPr>
      <w:r>
        <w:t xml:space="preserve">Personal de 30 hospitales públicos reciben Medalla y el Reconocimiento “Dra. Matilde Petra Montoya </w:t>
      </w:r>
      <w:proofErr w:type="spellStart"/>
      <w:r>
        <w:t>Lafragua</w:t>
      </w:r>
      <w:proofErr w:type="spellEnd"/>
      <w:r>
        <w:t>”.</w:t>
      </w:r>
    </w:p>
    <w:p w14:paraId="3DB06243" w14:textId="77777777" w:rsidR="00280376" w:rsidRDefault="00280376" w:rsidP="00280376">
      <w:pPr>
        <w:jc w:val="both"/>
      </w:pPr>
    </w:p>
    <w:p w14:paraId="1BF714B3" w14:textId="4D7BAE6B" w:rsidR="00280376" w:rsidRDefault="00280376" w:rsidP="00280376">
      <w:pPr>
        <w:jc w:val="both"/>
      </w:pPr>
      <w:r>
        <w:t xml:space="preserve">El Senador del Grupo Plural, Emilio Álvarez Icaza Longoria, entre hoy Medallas y el Reconocimiento “Dra. Matilde Petra Montoya </w:t>
      </w:r>
      <w:proofErr w:type="spellStart"/>
      <w:r>
        <w:t>Lafragua</w:t>
      </w:r>
      <w:proofErr w:type="spellEnd"/>
      <w:r>
        <w:t>” a personal médico y administrativo de 3</w:t>
      </w:r>
      <w:r w:rsidR="00176CF7">
        <w:t>0</w:t>
      </w:r>
      <w:r>
        <w:t xml:space="preserve"> hospitales públicos de la Ciudad de México en una ceremonia llevada a cabo en el Auditorio “Octavio Paz” del Senado de la República.</w:t>
      </w:r>
    </w:p>
    <w:p w14:paraId="2230BC61" w14:textId="1CDF2A3F" w:rsidR="00280376" w:rsidRDefault="00280376" w:rsidP="00280376">
      <w:pPr>
        <w:jc w:val="both"/>
      </w:pPr>
      <w:r>
        <w:t xml:space="preserve">La Medalla que lleva el nombre de </w:t>
      </w:r>
      <w:r w:rsidR="00176CF7">
        <w:t>l</w:t>
      </w:r>
      <w:r>
        <w:t xml:space="preserve">a primera mujer médica en México, es entregada por vez primera a personal médico y administrativo capitalino después de la pandemia. </w:t>
      </w:r>
    </w:p>
    <w:p w14:paraId="1B236B2F" w14:textId="258E27C9" w:rsidR="00280376" w:rsidRDefault="00280376" w:rsidP="00280376">
      <w:pPr>
        <w:jc w:val="both"/>
      </w:pPr>
      <w:r>
        <w:t>En la ceremonia participaron el</w:t>
      </w:r>
      <w:r w:rsidR="00176CF7">
        <w:t xml:space="preserve"> ex D</w:t>
      </w:r>
      <w:r>
        <w:t xml:space="preserve">irector </w:t>
      </w:r>
      <w:r w:rsidR="00176CF7">
        <w:t>G</w:t>
      </w:r>
      <w:r>
        <w:t xml:space="preserve">eneral del Hospital General de Tláhuac, fundado en 1910, Dr. Antonio Albarrán García; el representante de la Sección 12 del SUTGCDMX, Héctor Cid Acevedo; en representación del Hospital General Tláhuac, Roberto Isaac García Mújica; así como Elizabeth Segura Domínguez y Leslie García Nápoles. </w:t>
      </w:r>
    </w:p>
    <w:p w14:paraId="2955BBA3" w14:textId="30436A48" w:rsidR="00280376" w:rsidRDefault="00280376" w:rsidP="00280376">
      <w:pPr>
        <w:jc w:val="both"/>
      </w:pPr>
      <w:r>
        <w:t>Álvarez Icaza Longoria expresó que se trató de un pequeño gran reconocimiento a la importancia del trabajo al personal hospitalario en su conjunto</w:t>
      </w:r>
      <w:r w:rsidR="00176CF7">
        <w:t>,</w:t>
      </w:r>
      <w:r>
        <w:t xml:space="preserve"> que se colocó en la primera línea de </w:t>
      </w:r>
      <w:r w:rsidR="00176CF7">
        <w:t xml:space="preserve">combate </w:t>
      </w:r>
      <w:r>
        <w:t>contra la Pandemia por Covid19 y que más allá de la obligación laboral, prevaleció la convicción. El #</w:t>
      </w:r>
      <w:proofErr w:type="spellStart"/>
      <w:r>
        <w:t>QuédateEnCasa</w:t>
      </w:r>
      <w:proofErr w:type="spellEnd"/>
      <w:r>
        <w:t xml:space="preserve"> no operó para quien tuvo que atender a las y los capitalinos con contagio, indicó.</w:t>
      </w:r>
    </w:p>
    <w:p w14:paraId="433517C2" w14:textId="7B3076F9" w:rsidR="00280376" w:rsidRDefault="00280376" w:rsidP="00280376">
      <w:pPr>
        <w:jc w:val="both"/>
      </w:pPr>
      <w:r>
        <w:t xml:space="preserve">Señaló que la sociedad está en deuda con el sector e indicó que también por falta de políticas públicas adecuadas de las autoridades federales, principales operadores de la lucha contra el Covid19, México ocupa </w:t>
      </w:r>
      <w:r w:rsidR="00176CF7">
        <w:t xml:space="preserve">hoy </w:t>
      </w:r>
      <w:r>
        <w:t>el primer lugar mundial en personal hospitalario fallecido por la pandemia.</w:t>
      </w:r>
    </w:p>
    <w:p w14:paraId="549AE25A" w14:textId="0D513794" w:rsidR="00280376" w:rsidRDefault="00280376" w:rsidP="00280376">
      <w:pPr>
        <w:jc w:val="both"/>
      </w:pPr>
      <w:r>
        <w:t xml:space="preserve">Dijo que como quiera que sea, la sociedad ha aprendido un poco más sobre la pandemia y se cuenta con más información y conciencia. “Pero sobre todo con la convicción de ustedes. Estoy </w:t>
      </w:r>
      <w:r>
        <w:lastRenderedPageBreak/>
        <w:t>convencido que de lo que mejor que surgió en esta crisis por la pandemia fue la respuesta que ustedes dieron. Nos llena de llena de mucho orgullo esa vocación”.</w:t>
      </w:r>
    </w:p>
    <w:p w14:paraId="4289F6D2" w14:textId="7FCDEBD3" w:rsidR="00280376" w:rsidRDefault="00280376" w:rsidP="00280376">
      <w:pPr>
        <w:jc w:val="both"/>
      </w:pPr>
      <w:r>
        <w:t xml:space="preserve">El Reconocimiento “Dra. Matilde Petra Montoya </w:t>
      </w:r>
      <w:proofErr w:type="spellStart"/>
      <w:r>
        <w:t>Lafragua</w:t>
      </w:r>
      <w:proofErr w:type="spellEnd"/>
      <w:r>
        <w:t xml:space="preserve">” es entregada por vez primera y a iniciativa del personal de Hospital General de Tláhuac. </w:t>
      </w:r>
    </w:p>
    <w:p w14:paraId="2E84937A" w14:textId="19DCED4C" w:rsidR="00280376" w:rsidRDefault="00280376" w:rsidP="00280376">
      <w:pPr>
        <w:jc w:val="both"/>
      </w:pPr>
      <w:r>
        <w:t xml:space="preserve">Desde muy temprana hora arribaron al Senado de la República, médicos y médicas, enfermeras y enfermeros y personal administrativo, y llenaron prácticamente el Auditorio “Octavio Paz”. </w:t>
      </w:r>
    </w:p>
    <w:p w14:paraId="51006BDE" w14:textId="4B8848F6" w:rsidR="00280376" w:rsidRDefault="00280376" w:rsidP="00280376">
      <w:pPr>
        <w:jc w:val="both"/>
      </w:pPr>
      <w:r>
        <w:t xml:space="preserve">Los hospitales que estuvieron representados fueron: Hospital Pediátrico de Coyoacán; Hospital General Enrique Cabrera; Hospital Materno Infantil Magdalena Contreras; Hospital Pediátrico </w:t>
      </w:r>
      <w:proofErr w:type="spellStart"/>
      <w:r>
        <w:t>Legaria</w:t>
      </w:r>
      <w:proofErr w:type="spellEnd"/>
      <w:r>
        <w:t xml:space="preserve">; Hospital General Iztapalapa Dr. Juan Ramón de la Fuente, Clínica Hospital Emiliano Zapata; Hospital Pediátrico Iztacalco; Hospital Pediátrico Iztapalapa; Toxicológico Xochimilco; Hospital Pediátrico La Villa; Hospital Materno Infantil Dr. Nicolás M. Cedillo Soriano; Hospital Materno Infantil Tláhuac; Centro Regulador de Urgencias Médicas; Hospital Materno Pediátrico Xochimilco; Torre Insignia; Hospital Pediátrico Tacubaya; Hospital de Especialidades Dr. Belisario Domínguez; Hospital Pediátrico de Aragón; Hospital General Dr. Gregorio Salas; Hospital Materno Infantil </w:t>
      </w:r>
      <w:proofErr w:type="spellStart"/>
      <w:r>
        <w:t>Inguarán</w:t>
      </w:r>
      <w:proofErr w:type="spellEnd"/>
      <w:r>
        <w:t xml:space="preserve">; Hospital Materno Infantil Cuautepec; Hospital Pediátrico de Azcapotzalco; Clínica Hospital de Especialidades Toxicológicas Venustiano Carranza; Hospital Pediátrico </w:t>
      </w:r>
      <w:proofErr w:type="spellStart"/>
      <w:r>
        <w:t>Peralvillo</w:t>
      </w:r>
      <w:proofErr w:type="spellEnd"/>
      <w:r>
        <w:t xml:space="preserve">; Hospital General Milpa Alta; Hospital General Balbuena; Hospital General Ajusco Medio Dra. Obdulia Rodríguez </w:t>
      </w:r>
      <w:proofErr w:type="spellStart"/>
      <w:r>
        <w:t>Rodríguez</w:t>
      </w:r>
      <w:proofErr w:type="spellEnd"/>
      <w:r>
        <w:t xml:space="preserve">; Hospital General </w:t>
      </w:r>
      <w:proofErr w:type="spellStart"/>
      <w:r>
        <w:t>Topilejo</w:t>
      </w:r>
      <w:proofErr w:type="spellEnd"/>
      <w:r>
        <w:t xml:space="preserve">; Hospital General Rubén Leñero. Así como la representación sindical No. 12 y la Escuela de Enfermería de la Secretaría de Salud de la Ciudad de México. </w:t>
      </w:r>
    </w:p>
    <w:p w14:paraId="1836F493" w14:textId="77777777" w:rsidR="00280376" w:rsidRDefault="00280376" w:rsidP="00280376">
      <w:pPr>
        <w:jc w:val="both"/>
      </w:pPr>
      <w:r>
        <w:t xml:space="preserve">--//-- </w:t>
      </w:r>
    </w:p>
    <w:p w14:paraId="0F51657A" w14:textId="77777777" w:rsidR="00280376" w:rsidRDefault="00280376" w:rsidP="00280376">
      <w:pPr>
        <w:jc w:val="both"/>
      </w:pPr>
    </w:p>
    <w:p w14:paraId="6F12F99C" w14:textId="77777777" w:rsidR="00280376" w:rsidRDefault="00280376" w:rsidP="006936E3">
      <w:pPr>
        <w:spacing w:line="240" w:lineRule="auto"/>
        <w:jc w:val="right"/>
        <w:rPr>
          <w:rFonts w:cstheme="minorHAnsi"/>
          <w:sz w:val="20"/>
          <w:szCs w:val="20"/>
        </w:rPr>
      </w:pPr>
    </w:p>
    <w:p w14:paraId="11F84189" w14:textId="11BD9AEB" w:rsidR="00D94977" w:rsidRPr="006936E3" w:rsidRDefault="00D94977" w:rsidP="00540747">
      <w:pPr>
        <w:spacing w:line="240" w:lineRule="auto"/>
        <w:jc w:val="center"/>
        <w:rPr>
          <w:rFonts w:cstheme="minorHAnsi"/>
          <w:sz w:val="20"/>
          <w:szCs w:val="20"/>
        </w:rPr>
      </w:pPr>
    </w:p>
    <w:p w14:paraId="0E1C52A5" w14:textId="38A748EC" w:rsidR="00865B9C" w:rsidRPr="00865B9C" w:rsidRDefault="006936E3" w:rsidP="00865B9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--//--</w:t>
      </w:r>
    </w:p>
    <w:sectPr w:rsidR="00865B9C" w:rsidRPr="00865B9C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1229E" w14:textId="77777777" w:rsidR="003F0FF0" w:rsidRDefault="003F0FF0">
      <w:pPr>
        <w:spacing w:after="0" w:line="240" w:lineRule="auto"/>
      </w:pPr>
      <w:r>
        <w:separator/>
      </w:r>
    </w:p>
  </w:endnote>
  <w:endnote w:type="continuationSeparator" w:id="0">
    <w:p w14:paraId="31462A0A" w14:textId="77777777" w:rsidR="003F0FF0" w:rsidRDefault="003F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riad Pro Cond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0146043"/>
      <w:docPartObj>
        <w:docPartGallery w:val="Page Numbers (Bottom of Page)"/>
        <w:docPartUnique/>
      </w:docPartObj>
    </w:sdtPr>
    <w:sdtEndPr>
      <w:rPr>
        <w:color w:val="767171" w:themeColor="background2" w:themeShade="80"/>
      </w:rPr>
    </w:sdtEndPr>
    <w:sdtContent>
      <w:p w14:paraId="194780C4" w14:textId="77777777" w:rsidR="00EF3E5C" w:rsidRDefault="003F0FF0">
        <w:pPr>
          <w:pStyle w:val="Piedepgina"/>
          <w:jc w:val="right"/>
        </w:pPr>
      </w:p>
      <w:tbl>
        <w:tblPr>
          <w:tblStyle w:val="Tablaconcuadrcula"/>
          <w:tblW w:w="0" w:type="auto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247"/>
          <w:gridCol w:w="4247"/>
        </w:tblGrid>
        <w:tr w:rsidR="00EF3E5C" w14:paraId="33D729AD" w14:textId="77777777" w:rsidTr="00EF3E5C">
          <w:tc>
            <w:tcPr>
              <w:tcW w:w="4247" w:type="dxa"/>
            </w:tcPr>
            <w:p w14:paraId="67239D04" w14:textId="77777777" w:rsidR="00EF3E5C" w:rsidRPr="00EF3E5C" w:rsidRDefault="00700B5D" w:rsidP="00EF3E5C">
              <w:pPr>
                <w:pStyle w:val="Piedepgina"/>
                <w:rPr>
                  <w:rFonts w:ascii="Myriad Pro Cond" w:hAnsi="Myriad Pro Cond" w:cstheme="minorHAnsi"/>
                  <w:color w:val="767171" w:themeColor="background2" w:themeShade="80"/>
                </w:rPr>
              </w:pPr>
              <w:r w:rsidRPr="00EF3E5C">
                <w:rPr>
                  <w:rFonts w:ascii="Myriad Pro Cond" w:hAnsi="Myriad Pro Cond" w:cstheme="minorHAnsi"/>
                  <w:color w:val="767171" w:themeColor="background2" w:themeShade="80"/>
                </w:rPr>
                <w:fldChar w:fldCharType="begin"/>
              </w:r>
              <w:r w:rsidRPr="00EF3E5C">
                <w:rPr>
                  <w:rFonts w:ascii="Myriad Pro Cond" w:hAnsi="Myriad Pro Cond" w:cstheme="minorHAnsi"/>
                  <w:color w:val="767171" w:themeColor="background2" w:themeShade="80"/>
                </w:rPr>
                <w:instrText>PAGE   \* MERGEFORMAT</w:instrText>
              </w:r>
              <w:r w:rsidRPr="00EF3E5C">
                <w:rPr>
                  <w:rFonts w:ascii="Myriad Pro Cond" w:hAnsi="Myriad Pro Cond" w:cstheme="minorHAnsi"/>
                  <w:color w:val="767171" w:themeColor="background2" w:themeShade="80"/>
                </w:rPr>
                <w:fldChar w:fldCharType="separate"/>
              </w:r>
              <w:r w:rsidRPr="00EF3E5C">
                <w:rPr>
                  <w:rFonts w:ascii="Myriad Pro Cond" w:hAnsi="Myriad Pro Cond" w:cstheme="minorHAnsi"/>
                  <w:color w:val="767171" w:themeColor="background2" w:themeShade="80"/>
                </w:rPr>
                <w:t>2</w:t>
              </w:r>
              <w:r w:rsidRPr="00EF3E5C">
                <w:rPr>
                  <w:rFonts w:ascii="Myriad Pro Cond" w:hAnsi="Myriad Pro Cond" w:cstheme="minorHAnsi"/>
                  <w:color w:val="767171" w:themeColor="background2" w:themeShade="80"/>
                </w:rPr>
                <w:fldChar w:fldCharType="end"/>
              </w:r>
            </w:p>
            <w:p w14:paraId="5C4B9D09" w14:textId="77777777" w:rsidR="00EF3E5C" w:rsidRPr="00EF3E5C" w:rsidRDefault="003F0FF0">
              <w:pPr>
                <w:pStyle w:val="Piedepgina"/>
                <w:jc w:val="right"/>
                <w:rPr>
                  <w:color w:val="767171" w:themeColor="background2" w:themeShade="80"/>
                </w:rPr>
              </w:pPr>
            </w:p>
          </w:tc>
          <w:tc>
            <w:tcPr>
              <w:tcW w:w="4247" w:type="dxa"/>
            </w:tcPr>
            <w:p w14:paraId="5BD44267" w14:textId="77777777" w:rsidR="00EF3E5C" w:rsidRPr="00EF3E5C" w:rsidRDefault="00700B5D" w:rsidP="00EF3E5C">
              <w:pPr>
                <w:pStyle w:val="Piedepgina"/>
                <w:jc w:val="right"/>
                <w:rPr>
                  <w:rFonts w:ascii="Myriad Pro Cond" w:hAnsi="Myriad Pro Cond" w:cstheme="minorHAnsi"/>
                  <w:color w:val="767171" w:themeColor="background2" w:themeShade="80"/>
                </w:rPr>
              </w:pPr>
              <w:r w:rsidRPr="00EF3E5C">
                <w:rPr>
                  <w:rFonts w:ascii="Myriad Pro Cond" w:hAnsi="Myriad Pro Cond" w:cstheme="minorHAnsi"/>
                  <w:color w:val="767171" w:themeColor="background2" w:themeShade="80"/>
                </w:rPr>
                <w:t xml:space="preserve">Av. Paseo de la Reforma No. 135, Col. Tabacalera C.P. 0630, </w:t>
              </w:r>
            </w:p>
            <w:p w14:paraId="790444FA" w14:textId="77777777" w:rsidR="00EF3E5C" w:rsidRPr="00EF3E5C" w:rsidRDefault="00700B5D" w:rsidP="00EF3E5C">
              <w:pPr>
                <w:pStyle w:val="Piedepgina"/>
                <w:jc w:val="right"/>
                <w:rPr>
                  <w:rFonts w:ascii="Myriad Pro Cond" w:hAnsi="Myriad Pro Cond" w:cstheme="minorHAnsi"/>
                  <w:color w:val="767171" w:themeColor="background2" w:themeShade="80"/>
                </w:rPr>
              </w:pPr>
              <w:r w:rsidRPr="00EF3E5C">
                <w:rPr>
                  <w:rFonts w:ascii="Myriad Pro Cond" w:hAnsi="Myriad Pro Cond" w:cstheme="minorHAnsi"/>
                  <w:color w:val="767171" w:themeColor="background2" w:themeShade="80"/>
                </w:rPr>
                <w:t>Cuauhtémoc, Ciudad de México.</w:t>
              </w:r>
            </w:p>
          </w:tc>
        </w:tr>
      </w:tbl>
    </w:sdtContent>
  </w:sdt>
  <w:p w14:paraId="60669941" w14:textId="77777777" w:rsidR="00F42FD2" w:rsidRDefault="003F0FF0" w:rsidP="00F42FD2">
    <w:pPr>
      <w:pStyle w:val="Piedepgina"/>
      <w:jc w:val="right"/>
      <w:rPr>
        <w:rFonts w:ascii="Myriad Pro Cond" w:hAnsi="Myriad Pro Cond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28CF2" w14:textId="77777777" w:rsidR="003F0FF0" w:rsidRDefault="003F0FF0">
      <w:pPr>
        <w:spacing w:after="0" w:line="240" w:lineRule="auto"/>
      </w:pPr>
      <w:r>
        <w:separator/>
      </w:r>
    </w:p>
  </w:footnote>
  <w:footnote w:type="continuationSeparator" w:id="0">
    <w:p w14:paraId="54DE9B56" w14:textId="77777777" w:rsidR="003F0FF0" w:rsidRDefault="003F0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669214470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641F04AE" w14:textId="77777777" w:rsidR="009F3BAD" w:rsidRDefault="00700B5D" w:rsidP="00F00E1A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503835F" w14:textId="77777777" w:rsidR="009F3BAD" w:rsidRDefault="003F0FF0" w:rsidP="009F3BA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17816047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47CECB01" w14:textId="77777777" w:rsidR="009F3BAD" w:rsidRDefault="00700B5D" w:rsidP="00F00E1A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34EC5B8" w14:textId="77777777" w:rsidR="00F42FD2" w:rsidRDefault="003F0FF0" w:rsidP="009F3BAD">
    <w:pPr>
      <w:pStyle w:val="Encabezado"/>
      <w:ind w:right="360"/>
      <w:jc w:val="right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F42FD2" w14:paraId="72E2D941" w14:textId="77777777" w:rsidTr="00F42FD2">
      <w:tc>
        <w:tcPr>
          <w:tcW w:w="4247" w:type="dxa"/>
        </w:tcPr>
        <w:p w14:paraId="6004144F" w14:textId="77777777" w:rsidR="00F42FD2" w:rsidRDefault="00700B5D" w:rsidP="00F42FD2">
          <w:pPr>
            <w:pStyle w:val="Encabezado"/>
          </w:pPr>
          <w:r>
            <w:rPr>
              <w:noProof/>
            </w:rPr>
            <w:drawing>
              <wp:inline distT="0" distB="0" distL="0" distR="0" wp14:anchorId="050B0429" wp14:editId="12AB549E">
                <wp:extent cx="972897" cy="972897"/>
                <wp:effectExtent l="0" t="0" r="0" b="0"/>
                <wp:docPr id="1" name="Imagen 1" descr="Senado de la Repú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nado de la Repú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992" cy="97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</w:tcPr>
        <w:p w14:paraId="178C0D31" w14:textId="77777777" w:rsidR="00F42FD2" w:rsidRDefault="00700B5D" w:rsidP="00F42FD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51D9DBF5" wp14:editId="2DD82670">
                <wp:extent cx="1277368" cy="1011663"/>
                <wp:effectExtent l="0" t="0" r="0" b="0"/>
                <wp:docPr id="3" name="Imagen 3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636" b="12165"/>
                        <a:stretch/>
                      </pic:blipFill>
                      <pic:spPr bwMode="auto">
                        <a:xfrm>
                          <a:off x="0" y="0"/>
                          <a:ext cx="1302609" cy="10316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3B58542" w14:textId="77777777" w:rsidR="00F42FD2" w:rsidRDefault="003F0FF0" w:rsidP="00F42FD2">
    <w:pPr>
      <w:pStyle w:val="Encabezado"/>
      <w:jc w:val="right"/>
    </w:pPr>
  </w:p>
  <w:p w14:paraId="65C5E527" w14:textId="77777777" w:rsidR="009B3D24" w:rsidRDefault="00700B5D" w:rsidP="00F42FD2">
    <w:pPr>
      <w:pStyle w:val="Encabezado"/>
      <w:jc w:val="right"/>
    </w:pPr>
    <w:r w:rsidRPr="00F42F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1ED"/>
    <w:multiLevelType w:val="hybridMultilevel"/>
    <w:tmpl w:val="38B002D8"/>
    <w:lvl w:ilvl="0" w:tplc="6B7E260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3717"/>
    <w:multiLevelType w:val="hybridMultilevel"/>
    <w:tmpl w:val="6F2C84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6A6"/>
    <w:multiLevelType w:val="hybridMultilevel"/>
    <w:tmpl w:val="57B086F2"/>
    <w:lvl w:ilvl="0" w:tplc="6206D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878AE"/>
    <w:multiLevelType w:val="hybridMultilevel"/>
    <w:tmpl w:val="07CA52C2"/>
    <w:lvl w:ilvl="0" w:tplc="66042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60251"/>
    <w:multiLevelType w:val="hybridMultilevel"/>
    <w:tmpl w:val="2206B7C2"/>
    <w:lvl w:ilvl="0" w:tplc="157449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173BD"/>
    <w:multiLevelType w:val="hybridMultilevel"/>
    <w:tmpl w:val="BD923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E008B"/>
    <w:multiLevelType w:val="hybridMultilevel"/>
    <w:tmpl w:val="3760B4DE"/>
    <w:lvl w:ilvl="0" w:tplc="4704DEB4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85CFC"/>
    <w:multiLevelType w:val="hybridMultilevel"/>
    <w:tmpl w:val="517211C8"/>
    <w:lvl w:ilvl="0" w:tplc="080A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5D"/>
    <w:rsid w:val="00011ACC"/>
    <w:rsid w:val="00055E9E"/>
    <w:rsid w:val="00065256"/>
    <w:rsid w:val="00076391"/>
    <w:rsid w:val="00093F9D"/>
    <w:rsid w:val="00095703"/>
    <w:rsid w:val="000C0C8A"/>
    <w:rsid w:val="0010099E"/>
    <w:rsid w:val="00163B87"/>
    <w:rsid w:val="00176CF7"/>
    <w:rsid w:val="0019612B"/>
    <w:rsid w:val="002205D9"/>
    <w:rsid w:val="00222462"/>
    <w:rsid w:val="00226B22"/>
    <w:rsid w:val="00253E01"/>
    <w:rsid w:val="0025444C"/>
    <w:rsid w:val="0026269E"/>
    <w:rsid w:val="00267187"/>
    <w:rsid w:val="00280376"/>
    <w:rsid w:val="002946AD"/>
    <w:rsid w:val="002C335D"/>
    <w:rsid w:val="002C5737"/>
    <w:rsid w:val="002E2C39"/>
    <w:rsid w:val="00326F3D"/>
    <w:rsid w:val="003F0FF0"/>
    <w:rsid w:val="003F6E22"/>
    <w:rsid w:val="00481CAB"/>
    <w:rsid w:val="004E2098"/>
    <w:rsid w:val="00540747"/>
    <w:rsid w:val="005866AF"/>
    <w:rsid w:val="00593888"/>
    <w:rsid w:val="005A3F60"/>
    <w:rsid w:val="005E4382"/>
    <w:rsid w:val="00636338"/>
    <w:rsid w:val="006936E3"/>
    <w:rsid w:val="006C7D19"/>
    <w:rsid w:val="006D18AA"/>
    <w:rsid w:val="00700B5D"/>
    <w:rsid w:val="00754E9B"/>
    <w:rsid w:val="0075584F"/>
    <w:rsid w:val="00772BB5"/>
    <w:rsid w:val="00781801"/>
    <w:rsid w:val="007E72F2"/>
    <w:rsid w:val="0083214F"/>
    <w:rsid w:val="00865B9C"/>
    <w:rsid w:val="00876519"/>
    <w:rsid w:val="0088707D"/>
    <w:rsid w:val="008E3D8E"/>
    <w:rsid w:val="00906011"/>
    <w:rsid w:val="00907DB9"/>
    <w:rsid w:val="009107E2"/>
    <w:rsid w:val="009651BD"/>
    <w:rsid w:val="009B1CF4"/>
    <w:rsid w:val="009B49BA"/>
    <w:rsid w:val="00A06A3B"/>
    <w:rsid w:val="00A11A76"/>
    <w:rsid w:val="00A70F42"/>
    <w:rsid w:val="00AA6F58"/>
    <w:rsid w:val="00B93F34"/>
    <w:rsid w:val="00BC13AF"/>
    <w:rsid w:val="00BE2F76"/>
    <w:rsid w:val="00C51C0C"/>
    <w:rsid w:val="00C60BB6"/>
    <w:rsid w:val="00C81DDD"/>
    <w:rsid w:val="00CD0932"/>
    <w:rsid w:val="00CE75E0"/>
    <w:rsid w:val="00D30841"/>
    <w:rsid w:val="00D319D9"/>
    <w:rsid w:val="00D82711"/>
    <w:rsid w:val="00D90B30"/>
    <w:rsid w:val="00D94977"/>
    <w:rsid w:val="00DE0935"/>
    <w:rsid w:val="00E119D7"/>
    <w:rsid w:val="00E1363A"/>
    <w:rsid w:val="00E454C8"/>
    <w:rsid w:val="00EB4EA1"/>
    <w:rsid w:val="00EC68EE"/>
    <w:rsid w:val="00F764EC"/>
    <w:rsid w:val="00FA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6BD9"/>
  <w14:defaultImageDpi w14:val="32767"/>
  <w15:chartTrackingRefBased/>
  <w15:docId w15:val="{B1D8D8B9-33AD-1E46-B5D6-607E9B0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0B5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0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B5D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00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B5D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700B5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0B5D"/>
    <w:pPr>
      <w:spacing w:after="0" w:line="240" w:lineRule="auto"/>
      <w:ind w:left="720"/>
      <w:contextualSpacing/>
    </w:pPr>
    <w:rPr>
      <w:sz w:val="24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700B5D"/>
  </w:style>
  <w:style w:type="paragraph" w:styleId="NormalWeb">
    <w:name w:val="Normal (Web)"/>
    <w:basedOn w:val="Normal"/>
    <w:uiPriority w:val="99"/>
    <w:unhideWhenUsed/>
    <w:rsid w:val="0096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paragraph" w:customStyle="1" w:styleId="gmail-msolistparagraph">
    <w:name w:val="gmail-msolistparagraph"/>
    <w:basedOn w:val="Normal"/>
    <w:rsid w:val="00D9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949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D94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987169-1C8F-3343-9591-20BB7D14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Morales Galván</dc:creator>
  <cp:keywords/>
  <dc:description/>
  <cp:lastModifiedBy>Hugo Morales Galván</cp:lastModifiedBy>
  <cp:revision>7</cp:revision>
  <dcterms:created xsi:type="dcterms:W3CDTF">2022-04-21T23:45:00Z</dcterms:created>
  <dcterms:modified xsi:type="dcterms:W3CDTF">2022-04-22T19:36:00Z</dcterms:modified>
</cp:coreProperties>
</file>